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26" w:rsidRDefault="006C5026" w:rsidP="006C5026">
      <w:pPr>
        <w:rPr>
          <w:rFonts w:eastAsia="Calibri"/>
          <w:lang w:eastAsia="en-GB"/>
        </w:rPr>
      </w:pPr>
      <w:bookmarkStart w:id="0" w:name="_GoBack"/>
      <w:bookmarkEnd w:id="0"/>
    </w:p>
    <w:p w:rsidR="006721E3" w:rsidRDefault="006721E3" w:rsidP="006C5026">
      <w:pPr>
        <w:rPr>
          <w:rFonts w:eastAsia="Calibri"/>
          <w:lang w:eastAsia="en-GB"/>
        </w:rPr>
      </w:pPr>
    </w:p>
    <w:p w:rsidR="006721E3" w:rsidRDefault="006721E3" w:rsidP="006C5026">
      <w:pPr>
        <w:rPr>
          <w:rFonts w:eastAsia="Calibri"/>
          <w:lang w:eastAsia="en-GB"/>
        </w:rPr>
      </w:pPr>
    </w:p>
    <w:p w:rsidR="006721E3" w:rsidRDefault="006721E3" w:rsidP="006C5026">
      <w:pPr>
        <w:rPr>
          <w:rFonts w:eastAsia="Calibri"/>
          <w:lang w:eastAsia="en-GB"/>
        </w:rPr>
      </w:pPr>
    </w:p>
    <w:p w:rsidR="006721E3" w:rsidRDefault="006721E3" w:rsidP="006C5026">
      <w:pPr>
        <w:rPr>
          <w:rFonts w:eastAsia="Calibri"/>
          <w:lang w:eastAsia="en-GB"/>
        </w:rPr>
      </w:pPr>
    </w:p>
    <w:p w:rsidR="006721E3" w:rsidRDefault="006721E3" w:rsidP="006C5026">
      <w:pPr>
        <w:rPr>
          <w:rFonts w:eastAsia="Calibri"/>
          <w:lang w:eastAsia="en-GB"/>
        </w:rPr>
      </w:pPr>
    </w:p>
    <w:p w:rsidR="006721E3" w:rsidRDefault="006721E3" w:rsidP="006C5026">
      <w:pPr>
        <w:rPr>
          <w:rFonts w:eastAsia="Calibri"/>
          <w:lang w:eastAsia="en-GB"/>
        </w:rPr>
      </w:pPr>
    </w:p>
    <w:p w:rsidR="006721E3" w:rsidRDefault="006721E3" w:rsidP="006C5026">
      <w:pPr>
        <w:rPr>
          <w:rFonts w:eastAsia="Calibri"/>
          <w:lang w:eastAsia="en-GB"/>
        </w:rPr>
      </w:pPr>
    </w:p>
    <w:p w:rsidR="006721E3" w:rsidRDefault="006721E3" w:rsidP="006C5026">
      <w:pPr>
        <w:rPr>
          <w:rFonts w:eastAsia="Calibri"/>
          <w:lang w:eastAsia="en-GB"/>
        </w:rPr>
      </w:pPr>
    </w:p>
    <w:p w:rsidR="006C5026" w:rsidRPr="00CF602F" w:rsidRDefault="006C5026" w:rsidP="006C5026">
      <w:pPr>
        <w:jc w:val="center"/>
        <w:rPr>
          <w:b/>
          <w:sz w:val="36"/>
          <w:szCs w:val="36"/>
        </w:rPr>
      </w:pPr>
      <w:r w:rsidRPr="00CF602F">
        <w:rPr>
          <w:b/>
          <w:sz w:val="36"/>
          <w:szCs w:val="36"/>
        </w:rPr>
        <w:t xml:space="preserve">ST </w:t>
      </w:r>
      <w:smartTag w:uri="urn:schemas-microsoft-com:office:smarttags" w:element="stockticker">
        <w:r w:rsidRPr="00CF602F">
          <w:rPr>
            <w:b/>
            <w:sz w:val="36"/>
            <w:szCs w:val="36"/>
          </w:rPr>
          <w:t>MARY</w:t>
        </w:r>
      </w:smartTag>
      <w:r w:rsidRPr="00CF602F">
        <w:rPr>
          <w:b/>
          <w:sz w:val="36"/>
          <w:szCs w:val="36"/>
        </w:rPr>
        <w:t>’S CATHOLIC PRIMARY SCHOOL</w:t>
      </w:r>
    </w:p>
    <w:p w:rsidR="006C5026" w:rsidRDefault="006C5026" w:rsidP="006C5026">
      <w:pPr>
        <w:jc w:val="center"/>
        <w:rPr>
          <w:b/>
        </w:rPr>
      </w:pPr>
    </w:p>
    <w:p w:rsidR="006C5026" w:rsidRDefault="006C5026" w:rsidP="006C5026">
      <w:pPr>
        <w:jc w:val="center"/>
        <w:rPr>
          <w:b/>
        </w:rPr>
      </w:pPr>
      <w:r>
        <w:rPr>
          <w:noProof/>
          <w:lang w:eastAsia="en-GB"/>
        </w:rPr>
        <w:drawing>
          <wp:inline distT="0" distB="0" distL="0" distR="0" wp14:anchorId="10651B54" wp14:editId="11D61F70">
            <wp:extent cx="696595" cy="962660"/>
            <wp:effectExtent l="19050" t="0" r="8255" b="0"/>
            <wp:docPr id="1"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lum contrast="48000"/>
                      <a:grayscl/>
                      <a:biLevel thresh="50000"/>
                    </a:blip>
                    <a:srcRect/>
                    <a:stretch>
                      <a:fillRect/>
                    </a:stretch>
                  </pic:blipFill>
                  <pic:spPr bwMode="auto">
                    <a:xfrm>
                      <a:off x="0" y="0"/>
                      <a:ext cx="696595" cy="962660"/>
                    </a:xfrm>
                    <a:prstGeom prst="rect">
                      <a:avLst/>
                    </a:prstGeom>
                    <a:noFill/>
                    <a:ln w="9525">
                      <a:noFill/>
                      <a:miter lim="800000"/>
                      <a:headEnd/>
                      <a:tailEnd/>
                    </a:ln>
                  </pic:spPr>
                </pic:pic>
              </a:graphicData>
            </a:graphic>
          </wp:inline>
        </w:drawing>
      </w:r>
    </w:p>
    <w:p w:rsidR="006C5026" w:rsidRDefault="006C5026" w:rsidP="006C5026">
      <w:pPr>
        <w:jc w:val="center"/>
        <w:rPr>
          <w:b/>
        </w:rPr>
      </w:pPr>
    </w:p>
    <w:p w:rsidR="006C5026" w:rsidRDefault="006C5026" w:rsidP="006C5026">
      <w:pPr>
        <w:jc w:val="center"/>
        <w:rPr>
          <w:b/>
        </w:rPr>
      </w:pPr>
    </w:p>
    <w:p w:rsidR="006C5026" w:rsidRPr="009A2FE7" w:rsidRDefault="006C5026" w:rsidP="006C5026">
      <w:pPr>
        <w:rPr>
          <w:rFonts w:asciiTheme="majorHAnsi" w:hAnsiTheme="majorHAnsi"/>
          <w:b/>
          <w:sz w:val="32"/>
          <w:szCs w:val="32"/>
        </w:rPr>
      </w:pPr>
      <w:r>
        <w:rPr>
          <w:rFonts w:eastAsia="Calibri"/>
          <w:b/>
          <w:lang w:eastAsia="en-GB"/>
        </w:rPr>
        <w:t xml:space="preserve">                             </w:t>
      </w:r>
      <w:r w:rsidR="00662A4B">
        <w:rPr>
          <w:rFonts w:eastAsia="Calibri"/>
          <w:b/>
          <w:lang w:eastAsia="en-GB"/>
        </w:rPr>
        <w:t xml:space="preserve">        </w:t>
      </w:r>
      <w:r>
        <w:rPr>
          <w:rFonts w:eastAsia="Calibri"/>
          <w:b/>
          <w:lang w:eastAsia="en-GB"/>
        </w:rPr>
        <w:t xml:space="preserve">  </w:t>
      </w:r>
      <w:r w:rsidRPr="009A2FE7">
        <w:rPr>
          <w:rFonts w:asciiTheme="majorHAnsi" w:eastAsia="Calibri" w:hAnsiTheme="majorHAnsi"/>
          <w:b/>
          <w:sz w:val="32"/>
          <w:szCs w:val="32"/>
          <w:lang w:eastAsia="en-GB"/>
        </w:rPr>
        <w:t>ACHIEVEMENT</w:t>
      </w:r>
      <w:r w:rsidR="00662A4B">
        <w:rPr>
          <w:rFonts w:asciiTheme="majorHAnsi" w:eastAsia="Calibri" w:hAnsiTheme="majorHAnsi"/>
          <w:b/>
          <w:sz w:val="32"/>
          <w:szCs w:val="32"/>
          <w:lang w:eastAsia="en-GB"/>
        </w:rPr>
        <w:t xml:space="preserve"> at End of Early Years Foundation Stage</w:t>
      </w:r>
      <w:r w:rsidR="00BC49C8">
        <w:rPr>
          <w:rFonts w:asciiTheme="majorHAnsi" w:eastAsia="Calibri" w:hAnsiTheme="majorHAnsi"/>
          <w:b/>
          <w:sz w:val="32"/>
          <w:szCs w:val="32"/>
          <w:lang w:eastAsia="en-GB"/>
        </w:rPr>
        <w:t>, 2017</w:t>
      </w:r>
    </w:p>
    <w:p w:rsidR="006C5026" w:rsidRDefault="006C5026" w:rsidP="006C5026">
      <w:pPr>
        <w:rPr>
          <w:rFonts w:eastAsia="Calibri"/>
          <w:b/>
          <w:lang w:eastAsia="en-GB"/>
        </w:rPr>
      </w:pPr>
    </w:p>
    <w:p w:rsidR="006C5026" w:rsidRPr="00053CF2" w:rsidRDefault="006C5026" w:rsidP="006C5026">
      <w:pPr>
        <w:jc w:val="center"/>
        <w:rPr>
          <w:b/>
          <w:sz w:val="32"/>
          <w:szCs w:val="32"/>
          <w:u w:val="single"/>
        </w:rPr>
      </w:pPr>
    </w:p>
    <w:p w:rsidR="006C5026" w:rsidRPr="00053CF2" w:rsidRDefault="006C5026" w:rsidP="006C5026">
      <w:pPr>
        <w:jc w:val="center"/>
        <w:rPr>
          <w:b/>
          <w:sz w:val="32"/>
          <w:szCs w:val="32"/>
          <w:u w:val="single"/>
        </w:rPr>
      </w:pPr>
    </w:p>
    <w:p w:rsidR="006C5026" w:rsidRPr="00053CF2" w:rsidRDefault="006C5026" w:rsidP="006C5026">
      <w:pPr>
        <w:pStyle w:val="Title"/>
        <w:pBdr>
          <w:top w:val="single" w:sz="4" w:space="1" w:color="auto"/>
          <w:left w:val="single" w:sz="4" w:space="4" w:color="auto"/>
          <w:bottom w:val="single" w:sz="4" w:space="1" w:color="auto"/>
          <w:right w:val="single" w:sz="4" w:space="4" w:color="auto"/>
        </w:pBdr>
        <w:jc w:val="left"/>
        <w:rPr>
          <w:rFonts w:cs="Arial"/>
          <w:b/>
          <w:sz w:val="32"/>
          <w:szCs w:val="32"/>
        </w:rPr>
      </w:pPr>
      <w:r w:rsidRPr="00053CF2">
        <w:rPr>
          <w:rFonts w:cs="Arial"/>
          <w:b/>
          <w:sz w:val="32"/>
          <w:szCs w:val="32"/>
        </w:rPr>
        <w:t>Mission Statement</w:t>
      </w:r>
    </w:p>
    <w:p w:rsidR="006C5026" w:rsidRPr="00053CF2" w:rsidRDefault="006C5026" w:rsidP="006C5026">
      <w:pPr>
        <w:pStyle w:val="Title"/>
        <w:pBdr>
          <w:top w:val="single" w:sz="4" w:space="1" w:color="auto"/>
          <w:left w:val="single" w:sz="4" w:space="4" w:color="auto"/>
          <w:bottom w:val="single" w:sz="4" w:space="1" w:color="auto"/>
          <w:right w:val="single" w:sz="4" w:space="4" w:color="auto"/>
        </w:pBdr>
        <w:jc w:val="left"/>
        <w:rPr>
          <w:rFonts w:cs="Arial"/>
          <w:i/>
          <w:sz w:val="32"/>
          <w:szCs w:val="32"/>
        </w:rPr>
      </w:pPr>
    </w:p>
    <w:p w:rsidR="006C5026" w:rsidRPr="00053CF2" w:rsidRDefault="006C5026" w:rsidP="006C5026">
      <w:pPr>
        <w:pStyle w:val="BodyText"/>
        <w:pBdr>
          <w:top w:val="single" w:sz="4" w:space="1" w:color="auto"/>
          <w:left w:val="single" w:sz="4" w:space="4" w:color="auto"/>
          <w:bottom w:val="single" w:sz="4" w:space="1" w:color="auto"/>
          <w:right w:val="single" w:sz="4" w:space="4" w:color="auto"/>
        </w:pBdr>
        <w:rPr>
          <w:rFonts w:ascii="Arial" w:hAnsi="Arial" w:cs="Arial"/>
          <w:sz w:val="32"/>
          <w:szCs w:val="32"/>
        </w:rPr>
      </w:pPr>
      <w:r w:rsidRPr="00053CF2">
        <w:rPr>
          <w:rFonts w:ascii="Arial" w:hAnsi="Arial" w:cs="Arial"/>
          <w:sz w:val="32"/>
          <w:szCs w:val="32"/>
        </w:rPr>
        <w:t>St. Mary’s school community follows the teachings of Jesus Christ, working together to develop the whole child, in a spiritual, moral, academic, physical, social and emotional way, within a caring and supportive environment.</w:t>
      </w:r>
    </w:p>
    <w:p w:rsidR="006C5026" w:rsidRDefault="006C5026" w:rsidP="006C5026">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6C5026" w:rsidRPr="00CF602F" w:rsidRDefault="006C5026" w:rsidP="006C5026">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6C5026" w:rsidRDefault="006C5026" w:rsidP="006C5026">
      <w:pPr>
        <w:rPr>
          <w:rFonts w:eastAsia="Calibri"/>
          <w:lang w:eastAsia="en-GB"/>
        </w:rPr>
      </w:pPr>
    </w:p>
    <w:p w:rsidR="006C5026" w:rsidRDefault="006C5026" w:rsidP="006C5026">
      <w:pPr>
        <w:rPr>
          <w:rFonts w:eastAsia="Calibri"/>
          <w:lang w:eastAsia="en-GB"/>
        </w:rPr>
      </w:pPr>
    </w:p>
    <w:p w:rsidR="00662A4B" w:rsidRPr="00DC5D79" w:rsidRDefault="00662A4B" w:rsidP="00662A4B">
      <w:pPr>
        <w:pStyle w:val="ListParagraph"/>
        <w:numPr>
          <w:ilvl w:val="0"/>
          <w:numId w:val="3"/>
        </w:numPr>
        <w:contextualSpacing/>
        <w:rPr>
          <w:b/>
          <w:lang w:eastAsia="en-GB"/>
        </w:rPr>
      </w:pPr>
      <w:r w:rsidRPr="00DC5D79">
        <w:rPr>
          <w:b/>
          <w:lang w:eastAsia="en-GB"/>
        </w:rPr>
        <w:t>Early Years Analysis</w:t>
      </w:r>
    </w:p>
    <w:p w:rsidR="00662A4B" w:rsidRPr="00DC5D79" w:rsidRDefault="00662A4B" w:rsidP="00662A4B">
      <w:pPr>
        <w:rPr>
          <w:b/>
          <w:lang w:eastAsia="en-GB"/>
        </w:rPr>
      </w:pPr>
    </w:p>
    <w:p w:rsidR="00662A4B" w:rsidRDefault="00662A4B" w:rsidP="00662A4B">
      <w:r w:rsidRPr="00DC5D79">
        <w:t xml:space="preserve">Good Level of Development (GLD) is the key measure for </w:t>
      </w:r>
      <w:r w:rsidR="00D5522B" w:rsidRPr="00DC5D79">
        <w:t>EYFS (</w:t>
      </w:r>
      <w:r w:rsidRPr="00DC5D79">
        <w:t xml:space="preserve">All Prime Early learning Goals: </w:t>
      </w:r>
      <w:r w:rsidRPr="00DC5D79">
        <w:rPr>
          <w:u w:val="single"/>
        </w:rPr>
        <w:t>Communication and language, Physical development, Personal, social and emotional Development</w:t>
      </w:r>
      <w:r w:rsidRPr="00DC5D79">
        <w:t xml:space="preserve"> + </w:t>
      </w:r>
      <w:r w:rsidRPr="00DC5D79">
        <w:rPr>
          <w:u w:val="single"/>
        </w:rPr>
        <w:t>Literacy and Maths</w:t>
      </w:r>
      <w:r w:rsidRPr="00DC5D79">
        <w:t>)</w:t>
      </w:r>
    </w:p>
    <w:p w:rsidR="00662A4B" w:rsidRDefault="00662A4B" w:rsidP="00662A4B"/>
    <w:p w:rsidR="00662A4B" w:rsidRPr="00DC5D79" w:rsidRDefault="00662A4B" w:rsidP="00662A4B">
      <w:pPr>
        <w:rPr>
          <w:rFonts w:eastAsia="Calibri"/>
          <w:lang w:eastAsia="en-GB"/>
        </w:rPr>
      </w:pPr>
      <w:r w:rsidRPr="00DC5D79">
        <w:rPr>
          <w:rFonts w:eastAsia="Calibri"/>
          <w:lang w:eastAsia="en-GB"/>
        </w:rPr>
        <w:t xml:space="preserve">Achievement in Early Years was </w:t>
      </w:r>
      <w:r w:rsidRPr="00DC5D79">
        <w:rPr>
          <w:rFonts w:eastAsia="Calibri"/>
          <w:b/>
          <w:lang w:eastAsia="en-GB"/>
        </w:rPr>
        <w:t>good</w:t>
      </w:r>
      <w:r w:rsidRPr="00DC5D79">
        <w:rPr>
          <w:rFonts w:eastAsia="Calibri"/>
          <w:lang w:eastAsia="en-GB"/>
        </w:rPr>
        <w:t xml:space="preserve"> because: </w:t>
      </w:r>
    </w:p>
    <w:p w:rsidR="000A283A" w:rsidRDefault="000A283A" w:rsidP="000A283A">
      <w:pPr>
        <w:rPr>
          <w:rFonts w:ascii="Times New Roman" w:hAnsi="Times New Roman" w:cs="Times New Roman"/>
          <w:b/>
          <w:u w:val="single"/>
        </w:rPr>
      </w:pPr>
      <w:r w:rsidRPr="00DF68CF">
        <w:rPr>
          <w:rFonts w:ascii="Times New Roman" w:hAnsi="Times New Roman" w:cs="Times New Roman"/>
          <w:b/>
          <w:u w:val="single"/>
        </w:rPr>
        <w:t>Headlines</w:t>
      </w:r>
    </w:p>
    <w:p w:rsidR="000A283A" w:rsidRPr="00DF68CF" w:rsidRDefault="000A283A" w:rsidP="000A283A">
      <w:pPr>
        <w:rPr>
          <w:rFonts w:ascii="Times New Roman" w:hAnsi="Times New Roman" w:cs="Times New Roman"/>
          <w:b/>
          <w:u w:val="single"/>
        </w:rPr>
      </w:pPr>
    </w:p>
    <w:p w:rsidR="000A283A" w:rsidRDefault="000A283A" w:rsidP="000A283A">
      <w:pPr>
        <w:ind w:left="720"/>
        <w:rPr>
          <w:rFonts w:ascii="Times New Roman" w:hAnsi="Times New Roman" w:cs="Times New Roman"/>
        </w:rPr>
      </w:pPr>
      <w:r>
        <w:rPr>
          <w:rFonts w:ascii="Times New Roman" w:hAnsi="Times New Roman" w:cs="Times New Roman"/>
        </w:rPr>
        <w:t xml:space="preserve">2015  - </w:t>
      </w:r>
      <w:r w:rsidRPr="004D02A7">
        <w:rPr>
          <w:rFonts w:ascii="Times New Roman" w:hAnsi="Times New Roman" w:cs="Times New Roman"/>
          <w:b/>
        </w:rPr>
        <w:t>61%</w:t>
      </w:r>
      <w:r>
        <w:rPr>
          <w:rFonts w:ascii="Times New Roman" w:hAnsi="Times New Roman" w:cs="Times New Roman"/>
        </w:rPr>
        <w:t xml:space="preserve">  of pupils achieved a good level of development ( all prime areas  + Literacy and Maths)</w:t>
      </w:r>
    </w:p>
    <w:p w:rsidR="000A283A" w:rsidRDefault="000A283A" w:rsidP="000A283A">
      <w:pPr>
        <w:ind w:left="720"/>
        <w:rPr>
          <w:rFonts w:ascii="Times New Roman" w:hAnsi="Times New Roman" w:cs="Times New Roman"/>
        </w:rPr>
      </w:pPr>
      <w:r w:rsidRPr="00777A12">
        <w:rPr>
          <w:rFonts w:ascii="Times New Roman" w:hAnsi="Times New Roman" w:cs="Times New Roman"/>
        </w:rPr>
        <w:t xml:space="preserve">2016 – </w:t>
      </w:r>
      <w:r w:rsidRPr="00777A12">
        <w:rPr>
          <w:rFonts w:ascii="Times New Roman" w:hAnsi="Times New Roman" w:cs="Times New Roman"/>
          <w:b/>
        </w:rPr>
        <w:t>75%</w:t>
      </w:r>
      <w:r w:rsidRPr="00777A12">
        <w:rPr>
          <w:rFonts w:ascii="Times New Roman" w:hAnsi="Times New Roman" w:cs="Times New Roman"/>
        </w:rPr>
        <w:t xml:space="preserve">   of pupils achieved a good level of development ( all prime areas  + Literacy and Maths)</w:t>
      </w:r>
    </w:p>
    <w:p w:rsidR="000A283A" w:rsidRPr="00777A12" w:rsidRDefault="000A283A" w:rsidP="000A283A">
      <w:pPr>
        <w:ind w:left="720"/>
        <w:rPr>
          <w:rFonts w:ascii="Times New Roman" w:hAnsi="Times New Roman" w:cs="Times New Roman"/>
        </w:rPr>
      </w:pPr>
      <w:r>
        <w:rPr>
          <w:rFonts w:ascii="Times New Roman" w:hAnsi="Times New Roman" w:cs="Times New Roman"/>
        </w:rPr>
        <w:t xml:space="preserve">2017 – </w:t>
      </w:r>
      <w:r w:rsidRPr="00777A12">
        <w:rPr>
          <w:rFonts w:ascii="Times New Roman" w:hAnsi="Times New Roman" w:cs="Times New Roman"/>
          <w:b/>
        </w:rPr>
        <w:t>68%</w:t>
      </w:r>
      <w:r>
        <w:rPr>
          <w:rFonts w:ascii="Times New Roman" w:hAnsi="Times New Roman" w:cs="Times New Roman"/>
          <w:b/>
        </w:rPr>
        <w:t xml:space="preserve">   </w:t>
      </w:r>
      <w:r w:rsidRPr="00777A12">
        <w:rPr>
          <w:rFonts w:ascii="Times New Roman" w:hAnsi="Times New Roman" w:cs="Times New Roman"/>
        </w:rPr>
        <w:t>of pupils achieved a good level of development ( all prime areas  + Literacy and Maths)</w:t>
      </w:r>
    </w:p>
    <w:p w:rsidR="000A283A" w:rsidRDefault="000A283A" w:rsidP="000A283A">
      <w:pPr>
        <w:ind w:left="720"/>
        <w:rPr>
          <w:rFonts w:ascii="Times New Roman" w:hAnsi="Times New Roman" w:cs="Times New Roman"/>
        </w:rPr>
      </w:pPr>
    </w:p>
    <w:p w:rsidR="000A283A" w:rsidRPr="006856BE" w:rsidRDefault="000A283A" w:rsidP="000A283A">
      <w:pPr>
        <w:ind w:left="720"/>
        <w:rPr>
          <w:rFonts w:ascii="Times New Roman" w:hAnsi="Times New Roman" w:cs="Times New Roman"/>
          <w:u w:val="single"/>
        </w:rPr>
      </w:pPr>
      <w:r w:rsidRPr="006856BE">
        <w:rPr>
          <w:rFonts w:ascii="Times New Roman" w:hAnsi="Times New Roman" w:cs="Times New Roman"/>
          <w:u w:val="single"/>
        </w:rPr>
        <w:t>Progress</w:t>
      </w:r>
    </w:p>
    <w:tbl>
      <w:tblPr>
        <w:tblStyle w:val="TableGrid"/>
        <w:tblW w:w="0" w:type="auto"/>
        <w:tblLook w:val="04A0" w:firstRow="1" w:lastRow="0" w:firstColumn="1" w:lastColumn="0" w:noHBand="0" w:noVBand="1"/>
      </w:tblPr>
      <w:tblGrid>
        <w:gridCol w:w="2310"/>
        <w:gridCol w:w="2310"/>
        <w:gridCol w:w="2311"/>
      </w:tblGrid>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 xml:space="preserve">Prime Areas </w:t>
            </w:r>
          </w:p>
        </w:tc>
        <w:tc>
          <w:tcPr>
            <w:tcW w:w="2310" w:type="dxa"/>
          </w:tcPr>
          <w:p w:rsidR="000A283A" w:rsidRPr="00777A12" w:rsidRDefault="000A283A" w:rsidP="00FC57E1">
            <w:pPr>
              <w:rPr>
                <w:rFonts w:ascii="Times New Roman" w:hAnsi="Times New Roman" w:cs="Times New Roman"/>
              </w:rPr>
            </w:pPr>
            <w:r w:rsidRPr="00777A12">
              <w:rPr>
                <w:rFonts w:ascii="Times New Roman" w:hAnsi="Times New Roman" w:cs="Times New Roman"/>
              </w:rPr>
              <w:t>Autumn 201</w:t>
            </w:r>
            <w:r>
              <w:rPr>
                <w:rFonts w:ascii="Times New Roman" w:hAnsi="Times New Roman" w:cs="Times New Roman"/>
              </w:rPr>
              <w:t>6</w:t>
            </w:r>
          </w:p>
          <w:p w:rsidR="000A283A" w:rsidRDefault="000A283A" w:rsidP="00FC57E1">
            <w:pPr>
              <w:rPr>
                <w:rFonts w:ascii="Times New Roman" w:hAnsi="Times New Roman" w:cs="Times New Roman"/>
              </w:rPr>
            </w:pPr>
            <w:r w:rsidRPr="00777A12">
              <w:rPr>
                <w:rFonts w:ascii="Times New Roman" w:hAnsi="Times New Roman" w:cs="Times New Roman"/>
              </w:rPr>
              <w:t>% below typical  (40-60 months</w:t>
            </w:r>
            <w:r>
              <w:rPr>
                <w:rFonts w:ascii="Times New Roman" w:hAnsi="Times New Roman" w:cs="Times New Roman"/>
              </w:rPr>
              <w:t>)</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 xml:space="preserve">Summer 2017   % at expected </w:t>
            </w:r>
          </w:p>
          <w:p w:rsidR="000A283A" w:rsidRDefault="000A283A" w:rsidP="00FC57E1">
            <w:pPr>
              <w:rPr>
                <w:rFonts w:ascii="Times New Roman" w:hAnsi="Times New Roman" w:cs="Times New Roman"/>
              </w:rPr>
            </w:pPr>
          </w:p>
        </w:tc>
      </w:tr>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C&amp;L</w:t>
            </w:r>
          </w:p>
        </w:tc>
        <w:tc>
          <w:tcPr>
            <w:tcW w:w="2310" w:type="dxa"/>
          </w:tcPr>
          <w:p w:rsidR="000A283A" w:rsidRDefault="000A283A" w:rsidP="00FC57E1">
            <w:pPr>
              <w:rPr>
                <w:rFonts w:ascii="Times New Roman" w:hAnsi="Times New Roman" w:cs="Times New Roman"/>
              </w:rPr>
            </w:pPr>
            <w:r>
              <w:rPr>
                <w:rFonts w:ascii="Times New Roman" w:hAnsi="Times New Roman" w:cs="Times New Roman"/>
              </w:rPr>
              <w:t>83%</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68%</w:t>
            </w:r>
          </w:p>
        </w:tc>
      </w:tr>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PD</w:t>
            </w:r>
          </w:p>
        </w:tc>
        <w:tc>
          <w:tcPr>
            <w:tcW w:w="2310" w:type="dxa"/>
          </w:tcPr>
          <w:p w:rsidR="000A283A" w:rsidRDefault="000A283A" w:rsidP="00FC57E1">
            <w:pPr>
              <w:rPr>
                <w:rFonts w:ascii="Times New Roman" w:hAnsi="Times New Roman" w:cs="Times New Roman"/>
              </w:rPr>
            </w:pPr>
            <w:r>
              <w:rPr>
                <w:rFonts w:ascii="Times New Roman" w:hAnsi="Times New Roman" w:cs="Times New Roman"/>
              </w:rPr>
              <w:t>77%</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94.9</w:t>
            </w:r>
          </w:p>
        </w:tc>
      </w:tr>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PSED</w:t>
            </w:r>
          </w:p>
        </w:tc>
        <w:tc>
          <w:tcPr>
            <w:tcW w:w="2310" w:type="dxa"/>
          </w:tcPr>
          <w:p w:rsidR="000A283A" w:rsidRDefault="000A283A" w:rsidP="00FC57E1">
            <w:pPr>
              <w:rPr>
                <w:rFonts w:ascii="Times New Roman" w:hAnsi="Times New Roman" w:cs="Times New Roman"/>
              </w:rPr>
            </w:pPr>
            <w:r>
              <w:rPr>
                <w:rFonts w:ascii="Times New Roman" w:hAnsi="Times New Roman" w:cs="Times New Roman"/>
              </w:rPr>
              <w:t>82%</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78</w:t>
            </w:r>
          </w:p>
        </w:tc>
      </w:tr>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All prime ELGs</w:t>
            </w:r>
          </w:p>
        </w:tc>
        <w:tc>
          <w:tcPr>
            <w:tcW w:w="2310" w:type="dxa"/>
          </w:tcPr>
          <w:p w:rsidR="000A283A" w:rsidRDefault="000A283A" w:rsidP="00FC57E1">
            <w:pPr>
              <w:rPr>
                <w:rFonts w:ascii="Times New Roman" w:hAnsi="Times New Roman" w:cs="Times New Roman"/>
              </w:rPr>
            </w:pPr>
            <w:r>
              <w:rPr>
                <w:rFonts w:ascii="Times New Roman" w:hAnsi="Times New Roman" w:cs="Times New Roman"/>
              </w:rPr>
              <w:t>93%</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69.5</w:t>
            </w:r>
          </w:p>
        </w:tc>
      </w:tr>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Literacy</w:t>
            </w:r>
          </w:p>
        </w:tc>
        <w:tc>
          <w:tcPr>
            <w:tcW w:w="2310" w:type="dxa"/>
          </w:tcPr>
          <w:p w:rsidR="000A283A" w:rsidRDefault="000A283A" w:rsidP="00FC57E1">
            <w:pPr>
              <w:rPr>
                <w:rFonts w:ascii="Times New Roman" w:hAnsi="Times New Roman" w:cs="Times New Roman"/>
              </w:rPr>
            </w:pPr>
            <w:r>
              <w:rPr>
                <w:rFonts w:ascii="Times New Roman" w:hAnsi="Times New Roman" w:cs="Times New Roman"/>
              </w:rPr>
              <w:t>90%</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69.5</w:t>
            </w:r>
          </w:p>
        </w:tc>
      </w:tr>
      <w:tr w:rsidR="000A283A" w:rsidTr="00FC57E1">
        <w:tc>
          <w:tcPr>
            <w:tcW w:w="2310" w:type="dxa"/>
          </w:tcPr>
          <w:p w:rsidR="000A283A" w:rsidRDefault="000A283A" w:rsidP="00FC57E1">
            <w:pPr>
              <w:rPr>
                <w:rFonts w:ascii="Times New Roman" w:hAnsi="Times New Roman" w:cs="Times New Roman"/>
              </w:rPr>
            </w:pPr>
            <w:r>
              <w:rPr>
                <w:rFonts w:ascii="Times New Roman" w:hAnsi="Times New Roman" w:cs="Times New Roman"/>
              </w:rPr>
              <w:t>Mathematics</w:t>
            </w:r>
          </w:p>
        </w:tc>
        <w:tc>
          <w:tcPr>
            <w:tcW w:w="2310" w:type="dxa"/>
          </w:tcPr>
          <w:p w:rsidR="000A283A" w:rsidRDefault="000A283A" w:rsidP="00FC57E1">
            <w:pPr>
              <w:rPr>
                <w:rFonts w:ascii="Times New Roman" w:hAnsi="Times New Roman" w:cs="Times New Roman"/>
              </w:rPr>
            </w:pPr>
            <w:r>
              <w:rPr>
                <w:rFonts w:ascii="Times New Roman" w:hAnsi="Times New Roman" w:cs="Times New Roman"/>
              </w:rPr>
              <w:t>88%</w:t>
            </w:r>
          </w:p>
        </w:tc>
        <w:tc>
          <w:tcPr>
            <w:tcW w:w="2311" w:type="dxa"/>
          </w:tcPr>
          <w:p w:rsidR="000A283A" w:rsidRDefault="000A283A" w:rsidP="00FC57E1">
            <w:pPr>
              <w:rPr>
                <w:rFonts w:ascii="Times New Roman" w:hAnsi="Times New Roman" w:cs="Times New Roman"/>
              </w:rPr>
            </w:pPr>
            <w:r>
              <w:rPr>
                <w:rFonts w:ascii="Times New Roman" w:hAnsi="Times New Roman" w:cs="Times New Roman"/>
              </w:rPr>
              <w:t>76.3</w:t>
            </w:r>
          </w:p>
        </w:tc>
      </w:tr>
    </w:tbl>
    <w:p w:rsidR="000A283A" w:rsidRDefault="000A283A" w:rsidP="000A283A">
      <w:pPr>
        <w:jc w:val="both"/>
        <w:rPr>
          <w:rFonts w:ascii="Times New Roman" w:hAnsi="Times New Roman" w:cs="Times New Roman"/>
        </w:rPr>
      </w:pPr>
    </w:p>
    <w:p w:rsidR="000A283A" w:rsidRPr="0092618A" w:rsidRDefault="000A283A" w:rsidP="000A283A">
      <w:pPr>
        <w:pStyle w:val="ListParagraph"/>
        <w:numPr>
          <w:ilvl w:val="0"/>
          <w:numId w:val="4"/>
        </w:numPr>
        <w:spacing w:after="200" w:line="276" w:lineRule="auto"/>
        <w:contextualSpacing/>
        <w:jc w:val="both"/>
        <w:rPr>
          <w:rFonts w:ascii="Times New Roman" w:hAnsi="Times New Roman" w:cs="Times New Roman"/>
        </w:rPr>
      </w:pPr>
      <w:r w:rsidRPr="0092618A">
        <w:rPr>
          <w:rFonts w:ascii="Times New Roman" w:hAnsi="Times New Roman" w:cs="Times New Roman"/>
        </w:rPr>
        <w:t xml:space="preserve">The school figure for % of pupils achieving a </w:t>
      </w:r>
      <w:r w:rsidRPr="0092618A">
        <w:rPr>
          <w:rFonts w:ascii="Times New Roman" w:hAnsi="Times New Roman" w:cs="Times New Roman"/>
          <w:u w:val="single"/>
        </w:rPr>
        <w:t>good level of development</w:t>
      </w:r>
      <w:r w:rsidRPr="0092618A">
        <w:rPr>
          <w:rFonts w:ascii="Times New Roman" w:hAnsi="Times New Roman" w:cs="Times New Roman"/>
        </w:rPr>
        <w:t xml:space="preserve"> (GLD) </w:t>
      </w:r>
      <w:r>
        <w:rPr>
          <w:rFonts w:ascii="Times New Roman" w:hAnsi="Times New Roman" w:cs="Times New Roman"/>
        </w:rPr>
        <w:t xml:space="preserve">at </w:t>
      </w:r>
      <w:r w:rsidRPr="00777A12">
        <w:rPr>
          <w:rFonts w:ascii="Times New Roman" w:hAnsi="Times New Roman" w:cs="Times New Roman"/>
          <w:b/>
        </w:rPr>
        <w:t>68%</w:t>
      </w:r>
      <w:r>
        <w:rPr>
          <w:rFonts w:ascii="Times New Roman" w:hAnsi="Times New Roman" w:cs="Times New Roman"/>
        </w:rPr>
        <w:t xml:space="preserve"> </w:t>
      </w:r>
      <w:r w:rsidRPr="0092618A">
        <w:rPr>
          <w:rFonts w:ascii="Times New Roman" w:hAnsi="Times New Roman" w:cs="Times New Roman"/>
        </w:rPr>
        <w:t xml:space="preserve">was </w:t>
      </w:r>
      <w:r>
        <w:rPr>
          <w:rFonts w:ascii="Times New Roman" w:hAnsi="Times New Roman" w:cs="Times New Roman"/>
        </w:rPr>
        <w:t xml:space="preserve">slightly </w:t>
      </w:r>
      <w:r w:rsidRPr="0092618A">
        <w:rPr>
          <w:rFonts w:ascii="Times New Roman" w:hAnsi="Times New Roman" w:cs="Times New Roman"/>
        </w:rPr>
        <w:t>above that of the local authority figure of  6</w:t>
      </w:r>
      <w:r>
        <w:rPr>
          <w:rFonts w:ascii="Times New Roman" w:hAnsi="Times New Roman" w:cs="Times New Roman"/>
        </w:rPr>
        <w:t>7.8</w:t>
      </w:r>
      <w:r w:rsidRPr="0092618A">
        <w:rPr>
          <w:rFonts w:ascii="Times New Roman" w:hAnsi="Times New Roman" w:cs="Times New Roman"/>
        </w:rPr>
        <w:t xml:space="preserve">% and </w:t>
      </w:r>
      <w:r>
        <w:rPr>
          <w:rFonts w:ascii="Times New Roman" w:hAnsi="Times New Roman" w:cs="Times New Roman"/>
        </w:rPr>
        <w:t>below national</w:t>
      </w:r>
      <w:r w:rsidRPr="0092618A">
        <w:rPr>
          <w:rFonts w:ascii="Times New Roman" w:hAnsi="Times New Roman" w:cs="Times New Roman"/>
        </w:rPr>
        <w:t xml:space="preserve">  ( </w:t>
      </w:r>
      <w:r>
        <w:rPr>
          <w:rFonts w:ascii="Times New Roman" w:hAnsi="Times New Roman" w:cs="Times New Roman"/>
        </w:rPr>
        <w:t>70.7</w:t>
      </w:r>
      <w:r w:rsidRPr="0092618A">
        <w:rPr>
          <w:rFonts w:ascii="Times New Roman" w:hAnsi="Times New Roman" w:cs="Times New Roman"/>
        </w:rPr>
        <w:t>% )</w:t>
      </w:r>
    </w:p>
    <w:p w:rsidR="000A283A" w:rsidRPr="0092618A" w:rsidRDefault="000A283A" w:rsidP="000A283A">
      <w:pPr>
        <w:pStyle w:val="ListParagraph"/>
        <w:numPr>
          <w:ilvl w:val="0"/>
          <w:numId w:val="4"/>
        </w:numPr>
        <w:spacing w:after="200" w:line="276" w:lineRule="auto"/>
        <w:contextualSpacing/>
        <w:jc w:val="both"/>
        <w:rPr>
          <w:rFonts w:ascii="Times New Roman" w:hAnsi="Times New Roman" w:cs="Times New Roman"/>
        </w:rPr>
      </w:pPr>
      <w:r w:rsidRPr="0092618A">
        <w:rPr>
          <w:rFonts w:ascii="Times New Roman" w:hAnsi="Times New Roman" w:cs="Times New Roman"/>
        </w:rPr>
        <w:t xml:space="preserve">The school’s figure for % of pupils reaching expected levels in all 17 early learning areas was </w:t>
      </w:r>
      <w:r>
        <w:rPr>
          <w:rFonts w:ascii="Times New Roman" w:hAnsi="Times New Roman" w:cs="Times New Roman"/>
        </w:rPr>
        <w:t xml:space="preserve"> </w:t>
      </w:r>
      <w:r w:rsidRPr="00777A12">
        <w:rPr>
          <w:rFonts w:ascii="Times New Roman" w:hAnsi="Times New Roman" w:cs="Times New Roman"/>
          <w:b/>
        </w:rPr>
        <w:t>66.1%</w:t>
      </w:r>
      <w:r w:rsidRPr="0092618A">
        <w:rPr>
          <w:rFonts w:ascii="Times New Roman" w:hAnsi="Times New Roman" w:cs="Times New Roman"/>
        </w:rPr>
        <w:t xml:space="preserve">  compared to LA  6</w:t>
      </w:r>
      <w:r>
        <w:rPr>
          <w:rFonts w:ascii="Times New Roman" w:hAnsi="Times New Roman" w:cs="Times New Roman"/>
        </w:rPr>
        <w:t>6</w:t>
      </w:r>
      <w:r w:rsidRPr="0092618A">
        <w:rPr>
          <w:rFonts w:ascii="Times New Roman" w:hAnsi="Times New Roman" w:cs="Times New Roman"/>
        </w:rPr>
        <w:t xml:space="preserve">.4% and national  </w:t>
      </w:r>
      <w:r>
        <w:rPr>
          <w:rFonts w:ascii="Times New Roman" w:hAnsi="Times New Roman" w:cs="Times New Roman"/>
        </w:rPr>
        <w:t>69</w:t>
      </w:r>
      <w:r w:rsidRPr="0092618A">
        <w:rPr>
          <w:rFonts w:ascii="Times New Roman" w:hAnsi="Times New Roman" w:cs="Times New Roman"/>
        </w:rPr>
        <w:t>% .</w:t>
      </w:r>
    </w:p>
    <w:p w:rsidR="000A283A" w:rsidRDefault="000A283A" w:rsidP="000A283A">
      <w:pPr>
        <w:pStyle w:val="ListParagraph"/>
        <w:numPr>
          <w:ilvl w:val="0"/>
          <w:numId w:val="4"/>
        </w:numPr>
        <w:spacing w:after="200" w:line="276" w:lineRule="auto"/>
        <w:contextualSpacing/>
        <w:jc w:val="both"/>
        <w:rPr>
          <w:rFonts w:ascii="Times New Roman" w:hAnsi="Times New Roman" w:cs="Times New Roman"/>
        </w:rPr>
      </w:pPr>
      <w:r>
        <w:rPr>
          <w:rFonts w:ascii="Times New Roman" w:hAnsi="Times New Roman" w:cs="Times New Roman"/>
        </w:rPr>
        <w:t xml:space="preserve">In all prime Early Learning Goals (C&amp;L+PD+PSED) the school’s % of 69.5.3% was lower  than the LA figure of  74.9%. </w:t>
      </w:r>
    </w:p>
    <w:p w:rsidR="000A283A" w:rsidRPr="00777A12" w:rsidRDefault="000A283A" w:rsidP="000A283A">
      <w:pPr>
        <w:pStyle w:val="ListParagraph"/>
        <w:numPr>
          <w:ilvl w:val="0"/>
          <w:numId w:val="4"/>
        </w:numPr>
        <w:spacing w:after="200" w:line="276" w:lineRule="auto"/>
        <w:contextualSpacing/>
        <w:jc w:val="both"/>
        <w:rPr>
          <w:rFonts w:ascii="Times New Roman" w:hAnsi="Times New Roman" w:cs="Times New Roman"/>
        </w:rPr>
      </w:pPr>
      <w:r>
        <w:rPr>
          <w:rFonts w:ascii="Times New Roman" w:hAnsi="Times New Roman" w:cs="Times New Roman"/>
        </w:rPr>
        <w:t>The key measures for the school however are broadly in line with those over a three year period .</w:t>
      </w:r>
    </w:p>
    <w:p w:rsidR="000A283A" w:rsidRPr="0059056B" w:rsidRDefault="000A283A" w:rsidP="000A283A">
      <w:pPr>
        <w:ind w:left="360"/>
        <w:jc w:val="both"/>
        <w:rPr>
          <w:rFonts w:ascii="Times New Roman" w:hAnsi="Times New Roman" w:cs="Times New Roman"/>
        </w:rPr>
      </w:pPr>
    </w:p>
    <w:p w:rsidR="000A283A" w:rsidRDefault="000A283A" w:rsidP="000A283A">
      <w:pPr>
        <w:pStyle w:val="ListParagraph"/>
        <w:numPr>
          <w:ilvl w:val="0"/>
          <w:numId w:val="4"/>
        </w:numPr>
        <w:spacing w:after="200" w:line="276" w:lineRule="auto"/>
        <w:contextualSpacing/>
        <w:jc w:val="both"/>
        <w:rPr>
          <w:rFonts w:ascii="Times New Roman" w:hAnsi="Times New Roman" w:cs="Times New Roman"/>
        </w:rPr>
      </w:pPr>
      <w:r>
        <w:rPr>
          <w:rFonts w:ascii="Times New Roman" w:hAnsi="Times New Roman" w:cs="Times New Roman"/>
        </w:rPr>
        <w:t>Looking at the Areas of Learning  the % of pupils achieving the expected level was higher (slightly) than the LA figure in  Physical Development (94.9.% to 85.3%) , Literacy (69.5% to 69.3%), and Maths (76.3% to 74.4%).</w:t>
      </w:r>
    </w:p>
    <w:p w:rsidR="000A283A" w:rsidRPr="00643E1F" w:rsidRDefault="000A283A" w:rsidP="000A283A">
      <w:pPr>
        <w:pStyle w:val="ListParagraph"/>
        <w:rPr>
          <w:rFonts w:ascii="Times New Roman" w:hAnsi="Times New Roman" w:cs="Times New Roman"/>
        </w:rPr>
      </w:pPr>
    </w:p>
    <w:p w:rsidR="000A283A" w:rsidRDefault="000A283A" w:rsidP="000A283A">
      <w:pPr>
        <w:pStyle w:val="ListParagraph"/>
        <w:numPr>
          <w:ilvl w:val="0"/>
          <w:numId w:val="4"/>
        </w:numPr>
        <w:spacing w:after="200" w:line="276" w:lineRule="auto"/>
        <w:contextualSpacing/>
        <w:jc w:val="both"/>
        <w:rPr>
          <w:rFonts w:ascii="Times New Roman" w:hAnsi="Times New Roman" w:cs="Times New Roman"/>
        </w:rPr>
      </w:pPr>
      <w:r>
        <w:rPr>
          <w:rFonts w:ascii="Times New Roman" w:hAnsi="Times New Roman" w:cs="Times New Roman"/>
        </w:rPr>
        <w:t xml:space="preserve">Historically the school has had cohorts where PSED figures have been very low which has impacted on subsequent progress but in this cohort the percentage at 78% is neither as high as the very high figure last year (of over 90%) but neither is it so low as to suggest that the cohort may struggle to develop mature behaviours for learning. </w:t>
      </w:r>
    </w:p>
    <w:p w:rsidR="000A283A" w:rsidRPr="00643E1F" w:rsidRDefault="000A283A" w:rsidP="000A283A">
      <w:pPr>
        <w:pStyle w:val="ListParagraph"/>
        <w:rPr>
          <w:rFonts w:ascii="Times New Roman" w:hAnsi="Times New Roman" w:cs="Times New Roman"/>
        </w:rPr>
      </w:pPr>
    </w:p>
    <w:p w:rsidR="000A283A" w:rsidRPr="007471FD" w:rsidRDefault="000A283A" w:rsidP="000A283A">
      <w:pPr>
        <w:pStyle w:val="ListParagraph"/>
        <w:numPr>
          <w:ilvl w:val="0"/>
          <w:numId w:val="4"/>
        </w:numPr>
        <w:spacing w:after="200" w:line="276" w:lineRule="auto"/>
        <w:contextualSpacing/>
        <w:jc w:val="both"/>
        <w:rPr>
          <w:rFonts w:ascii="Times New Roman" w:hAnsi="Times New Roman" w:cs="Times New Roman"/>
          <w:u w:val="single"/>
        </w:rPr>
      </w:pPr>
      <w:r w:rsidRPr="007471FD">
        <w:rPr>
          <w:rFonts w:ascii="Times New Roman" w:hAnsi="Times New Roman" w:cs="Times New Roman"/>
        </w:rPr>
        <w:t xml:space="preserve"> The school % of pupils exceeding expectations in </w:t>
      </w:r>
      <w:r>
        <w:rPr>
          <w:rFonts w:ascii="Times New Roman" w:hAnsi="Times New Roman" w:cs="Times New Roman"/>
        </w:rPr>
        <w:t>the core areas of reading (25.4%) writing (15.2%) and maths (27.1%) reflects the trend over the last few years</w:t>
      </w:r>
      <w:r w:rsidR="006721E3">
        <w:rPr>
          <w:rFonts w:ascii="Times New Roman" w:hAnsi="Times New Roman" w:cs="Times New Roman"/>
        </w:rPr>
        <w:t xml:space="preserve"> although writing is</w:t>
      </w:r>
      <w:r>
        <w:rPr>
          <w:rFonts w:ascii="Times New Roman" w:hAnsi="Times New Roman" w:cs="Times New Roman"/>
        </w:rPr>
        <w:t xml:space="preserve"> lower than the other areas than in previous years.</w:t>
      </w:r>
      <w:r w:rsidRPr="007471FD">
        <w:rPr>
          <w:rFonts w:ascii="Times New Roman" w:hAnsi="Times New Roman" w:cs="Times New Roman"/>
        </w:rPr>
        <w:t xml:space="preserve">   </w:t>
      </w:r>
    </w:p>
    <w:p w:rsidR="000A283A" w:rsidRPr="007471FD" w:rsidRDefault="000A283A" w:rsidP="000A283A">
      <w:pPr>
        <w:pStyle w:val="ListParagraph"/>
        <w:rPr>
          <w:rFonts w:ascii="Times New Roman" w:hAnsi="Times New Roman" w:cs="Times New Roman"/>
          <w:u w:val="single"/>
        </w:rPr>
      </w:pPr>
    </w:p>
    <w:p w:rsidR="000A283A" w:rsidRPr="00F84D7E" w:rsidRDefault="000A283A" w:rsidP="000A283A">
      <w:pPr>
        <w:pStyle w:val="ListParagraph"/>
        <w:numPr>
          <w:ilvl w:val="0"/>
          <w:numId w:val="6"/>
        </w:numPr>
        <w:spacing w:after="200" w:line="276" w:lineRule="auto"/>
        <w:contextualSpacing/>
        <w:jc w:val="both"/>
        <w:rPr>
          <w:rFonts w:ascii="Times New Roman" w:hAnsi="Times New Roman" w:cs="Times New Roman"/>
        </w:rPr>
      </w:pPr>
      <w:r>
        <w:rPr>
          <w:rFonts w:ascii="Times New Roman" w:hAnsi="Times New Roman" w:cs="Times New Roman"/>
        </w:rPr>
        <w:t>Of the</w:t>
      </w:r>
      <w:r w:rsidRPr="00F84D7E">
        <w:rPr>
          <w:rFonts w:ascii="Times New Roman" w:hAnsi="Times New Roman" w:cs="Times New Roman"/>
        </w:rPr>
        <w:t xml:space="preserve"> SEN pupils </w:t>
      </w:r>
      <w:r>
        <w:rPr>
          <w:rFonts w:ascii="Times New Roman" w:hAnsi="Times New Roman" w:cs="Times New Roman"/>
        </w:rPr>
        <w:t xml:space="preserve">three have complex needs – one with a specific condition which is impacting severely on language and consequently overall academic progress had an EHCP put in place at the end of the year to ensure provision, another arrived later in the year having already had EP and S&amp;L assessment and will need further input possibly at EHCP level. One pupil has severe SEMH needs and again the school will be requesting statutory assessment in order to effectively meet his needs. Of the other four pupils two achieved GLD from baseline scores below typical – in particular the support they received for their language needs was particularly effective and provided the impetus for success in other areas of the curriculum. The other two boys were both silent but over the year began to open up (although one remained mute all year) although they showed progress they were considerably hindered by their language and communication.    </w:t>
      </w:r>
    </w:p>
    <w:p w:rsidR="006C5026" w:rsidRDefault="006C5026"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tbl>
      <w:tblPr>
        <w:tblStyle w:val="TableGrid"/>
        <w:tblW w:w="0" w:type="auto"/>
        <w:tblLook w:val="04A0" w:firstRow="1" w:lastRow="0" w:firstColumn="1" w:lastColumn="0" w:noHBand="0" w:noVBand="1"/>
      </w:tblPr>
      <w:tblGrid>
        <w:gridCol w:w="2602"/>
        <w:gridCol w:w="2294"/>
        <w:gridCol w:w="2383"/>
        <w:gridCol w:w="2502"/>
        <w:gridCol w:w="2263"/>
        <w:gridCol w:w="2130"/>
      </w:tblGrid>
      <w:tr w:rsidR="006721E3" w:rsidTr="006721E3">
        <w:tc>
          <w:tcPr>
            <w:tcW w:w="2602" w:type="dxa"/>
          </w:tcPr>
          <w:p w:rsidR="006721E3" w:rsidRDefault="006721E3" w:rsidP="00662A4B">
            <w:pPr>
              <w:rPr>
                <w:rFonts w:eastAsia="Calibri"/>
                <w:lang w:eastAsia="en-GB"/>
              </w:rPr>
            </w:pPr>
          </w:p>
        </w:tc>
        <w:tc>
          <w:tcPr>
            <w:tcW w:w="2294" w:type="dxa"/>
          </w:tcPr>
          <w:p w:rsidR="006721E3" w:rsidRDefault="006721E3" w:rsidP="00662A4B">
            <w:pPr>
              <w:rPr>
                <w:rFonts w:eastAsia="Calibri"/>
                <w:lang w:eastAsia="en-GB"/>
              </w:rPr>
            </w:pPr>
            <w:r>
              <w:rPr>
                <w:rFonts w:eastAsia="Calibri"/>
                <w:lang w:eastAsia="en-GB"/>
              </w:rPr>
              <w:t>ALL</w:t>
            </w:r>
          </w:p>
        </w:tc>
        <w:tc>
          <w:tcPr>
            <w:tcW w:w="2383" w:type="dxa"/>
          </w:tcPr>
          <w:p w:rsidR="006721E3" w:rsidRDefault="006721E3" w:rsidP="00662A4B">
            <w:pPr>
              <w:rPr>
                <w:rFonts w:eastAsia="Calibri"/>
                <w:lang w:eastAsia="en-GB"/>
              </w:rPr>
            </w:pPr>
            <w:r>
              <w:rPr>
                <w:rFonts w:eastAsia="Calibri"/>
                <w:lang w:eastAsia="en-GB"/>
              </w:rPr>
              <w:t>MALE</w:t>
            </w:r>
          </w:p>
        </w:tc>
        <w:tc>
          <w:tcPr>
            <w:tcW w:w="2502" w:type="dxa"/>
          </w:tcPr>
          <w:p w:rsidR="006721E3" w:rsidRDefault="006721E3" w:rsidP="00662A4B">
            <w:pPr>
              <w:rPr>
                <w:rFonts w:eastAsia="Calibri"/>
                <w:lang w:eastAsia="en-GB"/>
              </w:rPr>
            </w:pPr>
            <w:r>
              <w:rPr>
                <w:rFonts w:eastAsia="Calibri"/>
                <w:lang w:eastAsia="en-GB"/>
              </w:rPr>
              <w:t>FEMALE</w:t>
            </w:r>
          </w:p>
        </w:tc>
        <w:tc>
          <w:tcPr>
            <w:tcW w:w="2263" w:type="dxa"/>
          </w:tcPr>
          <w:p w:rsidR="006721E3" w:rsidRDefault="006721E3" w:rsidP="00662A4B">
            <w:pPr>
              <w:rPr>
                <w:rFonts w:eastAsia="Calibri"/>
                <w:lang w:eastAsia="en-GB"/>
              </w:rPr>
            </w:pPr>
            <w:r>
              <w:rPr>
                <w:rFonts w:eastAsia="Calibri"/>
                <w:lang w:eastAsia="en-GB"/>
              </w:rPr>
              <w:t>EVER 6 FSM</w:t>
            </w:r>
          </w:p>
        </w:tc>
        <w:tc>
          <w:tcPr>
            <w:tcW w:w="2130" w:type="dxa"/>
          </w:tcPr>
          <w:p w:rsidR="006721E3" w:rsidRDefault="006721E3" w:rsidP="00662A4B">
            <w:pPr>
              <w:rPr>
                <w:rFonts w:eastAsia="Calibri"/>
                <w:lang w:eastAsia="en-GB"/>
              </w:rPr>
            </w:pPr>
            <w:r>
              <w:rPr>
                <w:rFonts w:eastAsia="Calibri"/>
                <w:lang w:eastAsia="en-GB"/>
              </w:rPr>
              <w:t>NON EVER 6 FSM</w:t>
            </w:r>
          </w:p>
          <w:p w:rsidR="006721E3" w:rsidRDefault="006721E3" w:rsidP="00662A4B">
            <w:pPr>
              <w:rPr>
                <w:rFonts w:eastAsia="Calibri"/>
                <w:lang w:eastAsia="en-GB"/>
              </w:rPr>
            </w:pPr>
          </w:p>
        </w:tc>
      </w:tr>
      <w:tr w:rsidR="006721E3" w:rsidTr="006721E3">
        <w:tc>
          <w:tcPr>
            <w:tcW w:w="2602" w:type="dxa"/>
          </w:tcPr>
          <w:p w:rsidR="006721E3" w:rsidRDefault="006721E3" w:rsidP="00662A4B">
            <w:pPr>
              <w:rPr>
                <w:rFonts w:eastAsia="Calibri"/>
                <w:lang w:eastAsia="en-GB"/>
              </w:rPr>
            </w:pPr>
            <w:r>
              <w:rPr>
                <w:rFonts w:eastAsia="Calibri"/>
                <w:lang w:eastAsia="en-GB"/>
              </w:rPr>
              <w:t>Cohort</w:t>
            </w:r>
          </w:p>
        </w:tc>
        <w:tc>
          <w:tcPr>
            <w:tcW w:w="2294" w:type="dxa"/>
          </w:tcPr>
          <w:p w:rsidR="006721E3" w:rsidRDefault="006721E3" w:rsidP="00662A4B">
            <w:pPr>
              <w:rPr>
                <w:rFonts w:eastAsia="Calibri"/>
                <w:lang w:eastAsia="en-GB"/>
              </w:rPr>
            </w:pPr>
            <w:r>
              <w:rPr>
                <w:rFonts w:eastAsia="Calibri"/>
                <w:lang w:eastAsia="en-GB"/>
              </w:rPr>
              <w:t>59</w:t>
            </w:r>
          </w:p>
        </w:tc>
        <w:tc>
          <w:tcPr>
            <w:tcW w:w="2383" w:type="dxa"/>
          </w:tcPr>
          <w:p w:rsidR="006721E3" w:rsidRDefault="006721E3" w:rsidP="00662A4B">
            <w:pPr>
              <w:rPr>
                <w:rFonts w:eastAsia="Calibri"/>
                <w:lang w:eastAsia="en-GB"/>
              </w:rPr>
            </w:pPr>
            <w:r>
              <w:rPr>
                <w:rFonts w:eastAsia="Calibri"/>
                <w:lang w:eastAsia="en-GB"/>
              </w:rPr>
              <w:t>30</w:t>
            </w:r>
          </w:p>
        </w:tc>
        <w:tc>
          <w:tcPr>
            <w:tcW w:w="2502" w:type="dxa"/>
          </w:tcPr>
          <w:p w:rsidR="006721E3" w:rsidRDefault="006721E3" w:rsidP="00662A4B">
            <w:pPr>
              <w:rPr>
                <w:rFonts w:eastAsia="Calibri"/>
                <w:lang w:eastAsia="en-GB"/>
              </w:rPr>
            </w:pPr>
            <w:r>
              <w:rPr>
                <w:rFonts w:eastAsia="Calibri"/>
                <w:lang w:eastAsia="en-GB"/>
              </w:rPr>
              <w:t>29</w:t>
            </w:r>
          </w:p>
        </w:tc>
        <w:tc>
          <w:tcPr>
            <w:tcW w:w="2263" w:type="dxa"/>
          </w:tcPr>
          <w:p w:rsidR="006721E3" w:rsidRDefault="006721E3" w:rsidP="00662A4B">
            <w:pPr>
              <w:rPr>
                <w:rFonts w:eastAsia="Calibri"/>
                <w:lang w:eastAsia="en-GB"/>
              </w:rPr>
            </w:pPr>
            <w:r>
              <w:rPr>
                <w:rFonts w:eastAsia="Calibri"/>
                <w:lang w:eastAsia="en-GB"/>
              </w:rPr>
              <w:t>7</w:t>
            </w:r>
          </w:p>
        </w:tc>
        <w:tc>
          <w:tcPr>
            <w:tcW w:w="2130" w:type="dxa"/>
          </w:tcPr>
          <w:p w:rsidR="006721E3" w:rsidRDefault="006721E3" w:rsidP="00662A4B">
            <w:pPr>
              <w:rPr>
                <w:rFonts w:eastAsia="Calibri"/>
                <w:lang w:eastAsia="en-GB"/>
              </w:rPr>
            </w:pPr>
            <w:r>
              <w:rPr>
                <w:rFonts w:eastAsia="Calibri"/>
                <w:lang w:eastAsia="en-GB"/>
              </w:rPr>
              <w:t>52</w:t>
            </w:r>
          </w:p>
        </w:tc>
      </w:tr>
      <w:tr w:rsidR="006721E3" w:rsidTr="006721E3">
        <w:tc>
          <w:tcPr>
            <w:tcW w:w="2602" w:type="dxa"/>
          </w:tcPr>
          <w:p w:rsidR="006721E3" w:rsidRDefault="006721E3" w:rsidP="00662A4B">
            <w:pPr>
              <w:rPr>
                <w:rFonts w:eastAsia="Calibri"/>
                <w:lang w:eastAsia="en-GB"/>
              </w:rPr>
            </w:pPr>
            <w:r>
              <w:rPr>
                <w:rFonts w:eastAsia="Calibri"/>
                <w:lang w:eastAsia="en-GB"/>
              </w:rPr>
              <w:t>School %</w:t>
            </w:r>
          </w:p>
        </w:tc>
        <w:tc>
          <w:tcPr>
            <w:tcW w:w="2294" w:type="dxa"/>
          </w:tcPr>
          <w:p w:rsidR="006721E3" w:rsidRDefault="006721E3" w:rsidP="00662A4B">
            <w:pPr>
              <w:rPr>
                <w:rFonts w:eastAsia="Calibri"/>
                <w:lang w:eastAsia="en-GB"/>
              </w:rPr>
            </w:pPr>
            <w:r>
              <w:rPr>
                <w:rFonts w:eastAsia="Calibri"/>
                <w:lang w:eastAsia="en-GB"/>
              </w:rPr>
              <w:t>68</w:t>
            </w:r>
          </w:p>
        </w:tc>
        <w:tc>
          <w:tcPr>
            <w:tcW w:w="2383" w:type="dxa"/>
          </w:tcPr>
          <w:p w:rsidR="006721E3" w:rsidRDefault="006721E3" w:rsidP="00662A4B">
            <w:pPr>
              <w:rPr>
                <w:rFonts w:eastAsia="Calibri"/>
                <w:lang w:eastAsia="en-GB"/>
              </w:rPr>
            </w:pPr>
            <w:r>
              <w:rPr>
                <w:rFonts w:eastAsia="Calibri"/>
                <w:lang w:eastAsia="en-GB"/>
              </w:rPr>
              <w:t>70</w:t>
            </w:r>
          </w:p>
        </w:tc>
        <w:tc>
          <w:tcPr>
            <w:tcW w:w="2502" w:type="dxa"/>
          </w:tcPr>
          <w:p w:rsidR="006721E3" w:rsidRDefault="006721E3" w:rsidP="00662A4B">
            <w:pPr>
              <w:rPr>
                <w:rFonts w:eastAsia="Calibri"/>
                <w:lang w:eastAsia="en-GB"/>
              </w:rPr>
            </w:pPr>
            <w:r>
              <w:rPr>
                <w:rFonts w:eastAsia="Calibri"/>
                <w:lang w:eastAsia="en-GB"/>
              </w:rPr>
              <w:t>66</w:t>
            </w:r>
          </w:p>
        </w:tc>
        <w:tc>
          <w:tcPr>
            <w:tcW w:w="2263" w:type="dxa"/>
          </w:tcPr>
          <w:p w:rsidR="006721E3" w:rsidRDefault="006721E3" w:rsidP="00662A4B">
            <w:pPr>
              <w:rPr>
                <w:rFonts w:eastAsia="Calibri"/>
                <w:lang w:eastAsia="en-GB"/>
              </w:rPr>
            </w:pPr>
            <w:r>
              <w:rPr>
                <w:rFonts w:eastAsia="Calibri"/>
                <w:lang w:eastAsia="en-GB"/>
              </w:rPr>
              <w:t>57</w:t>
            </w:r>
          </w:p>
        </w:tc>
        <w:tc>
          <w:tcPr>
            <w:tcW w:w="2130" w:type="dxa"/>
          </w:tcPr>
          <w:p w:rsidR="006721E3" w:rsidRDefault="006721E3" w:rsidP="00662A4B">
            <w:pPr>
              <w:rPr>
                <w:rFonts w:eastAsia="Calibri"/>
                <w:lang w:eastAsia="en-GB"/>
              </w:rPr>
            </w:pPr>
            <w:r>
              <w:rPr>
                <w:rFonts w:eastAsia="Calibri"/>
                <w:lang w:eastAsia="en-GB"/>
              </w:rPr>
              <w:t>69</w:t>
            </w:r>
          </w:p>
        </w:tc>
      </w:tr>
      <w:tr w:rsidR="006721E3" w:rsidTr="006721E3">
        <w:tc>
          <w:tcPr>
            <w:tcW w:w="2602" w:type="dxa"/>
          </w:tcPr>
          <w:p w:rsidR="006721E3" w:rsidRDefault="006721E3" w:rsidP="00662A4B">
            <w:pPr>
              <w:rPr>
                <w:rFonts w:eastAsia="Calibri"/>
                <w:lang w:eastAsia="en-GB"/>
              </w:rPr>
            </w:pPr>
            <w:r>
              <w:rPr>
                <w:rFonts w:eastAsia="Calibri"/>
                <w:lang w:eastAsia="en-GB"/>
              </w:rPr>
              <w:t>National Benchmark</w:t>
            </w:r>
          </w:p>
        </w:tc>
        <w:tc>
          <w:tcPr>
            <w:tcW w:w="2294" w:type="dxa"/>
          </w:tcPr>
          <w:p w:rsidR="006721E3" w:rsidRDefault="006721E3" w:rsidP="00662A4B">
            <w:pPr>
              <w:rPr>
                <w:rFonts w:eastAsia="Calibri"/>
                <w:lang w:eastAsia="en-GB"/>
              </w:rPr>
            </w:pPr>
            <w:r>
              <w:rPr>
                <w:rFonts w:eastAsia="Calibri"/>
                <w:lang w:eastAsia="en-GB"/>
              </w:rPr>
              <w:t>71</w:t>
            </w:r>
          </w:p>
        </w:tc>
        <w:tc>
          <w:tcPr>
            <w:tcW w:w="2383" w:type="dxa"/>
          </w:tcPr>
          <w:p w:rsidR="006721E3" w:rsidRDefault="006721E3" w:rsidP="00662A4B">
            <w:pPr>
              <w:rPr>
                <w:rFonts w:eastAsia="Calibri"/>
                <w:lang w:eastAsia="en-GB"/>
              </w:rPr>
            </w:pPr>
            <w:r>
              <w:rPr>
                <w:rFonts w:eastAsia="Calibri"/>
                <w:lang w:eastAsia="en-GB"/>
              </w:rPr>
              <w:t>64</w:t>
            </w:r>
          </w:p>
        </w:tc>
        <w:tc>
          <w:tcPr>
            <w:tcW w:w="2502" w:type="dxa"/>
          </w:tcPr>
          <w:p w:rsidR="006721E3" w:rsidRDefault="006721E3" w:rsidP="00662A4B">
            <w:pPr>
              <w:rPr>
                <w:rFonts w:eastAsia="Calibri"/>
                <w:lang w:eastAsia="en-GB"/>
              </w:rPr>
            </w:pPr>
            <w:r>
              <w:rPr>
                <w:rFonts w:eastAsia="Calibri"/>
                <w:lang w:eastAsia="en-GB"/>
              </w:rPr>
              <w:t>78</w:t>
            </w:r>
          </w:p>
        </w:tc>
        <w:tc>
          <w:tcPr>
            <w:tcW w:w="2263" w:type="dxa"/>
          </w:tcPr>
          <w:p w:rsidR="006721E3" w:rsidRDefault="006721E3" w:rsidP="00662A4B">
            <w:pPr>
              <w:rPr>
                <w:rFonts w:eastAsia="Calibri"/>
                <w:lang w:eastAsia="en-GB"/>
              </w:rPr>
            </w:pPr>
            <w:r>
              <w:rPr>
                <w:rFonts w:eastAsia="Calibri"/>
                <w:lang w:eastAsia="en-GB"/>
              </w:rPr>
              <w:t>57</w:t>
            </w:r>
          </w:p>
        </w:tc>
        <w:tc>
          <w:tcPr>
            <w:tcW w:w="2130" w:type="dxa"/>
          </w:tcPr>
          <w:p w:rsidR="006721E3" w:rsidRDefault="006721E3" w:rsidP="00662A4B">
            <w:pPr>
              <w:rPr>
                <w:rFonts w:eastAsia="Calibri"/>
                <w:lang w:eastAsia="en-GB"/>
              </w:rPr>
            </w:pPr>
            <w:r>
              <w:rPr>
                <w:rFonts w:eastAsia="Calibri"/>
                <w:lang w:eastAsia="en-GB"/>
              </w:rPr>
              <w:t>73</w:t>
            </w:r>
          </w:p>
        </w:tc>
      </w:tr>
    </w:tbl>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p w:rsidR="004F52E9" w:rsidRDefault="004F52E9" w:rsidP="00662A4B">
      <w:pPr>
        <w:rPr>
          <w:rFonts w:eastAsia="Calibri"/>
          <w:lang w:eastAsia="en-GB"/>
        </w:rPr>
      </w:pPr>
    </w:p>
    <w:sectPr w:rsidR="004F52E9" w:rsidSect="006C502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8C" w:rsidRDefault="00703A8C" w:rsidP="00662A4B">
      <w:r>
        <w:separator/>
      </w:r>
    </w:p>
  </w:endnote>
  <w:endnote w:type="continuationSeparator" w:id="0">
    <w:p w:rsidR="00703A8C" w:rsidRDefault="00703A8C" w:rsidP="0066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3220"/>
      <w:docPartObj>
        <w:docPartGallery w:val="Page Numbers (Bottom of Page)"/>
        <w:docPartUnique/>
      </w:docPartObj>
    </w:sdtPr>
    <w:sdtEndPr>
      <w:rPr>
        <w:noProof/>
      </w:rPr>
    </w:sdtEndPr>
    <w:sdtContent>
      <w:p w:rsidR="00662A4B" w:rsidRDefault="00662A4B">
        <w:pPr>
          <w:pStyle w:val="Footer"/>
          <w:jc w:val="right"/>
        </w:pPr>
        <w:r>
          <w:fldChar w:fldCharType="begin"/>
        </w:r>
        <w:r>
          <w:instrText xml:space="preserve"> PAGE   \* MERGEFORMAT </w:instrText>
        </w:r>
        <w:r>
          <w:fldChar w:fldCharType="separate"/>
        </w:r>
        <w:r w:rsidR="0051143E">
          <w:rPr>
            <w:noProof/>
          </w:rPr>
          <w:t>3</w:t>
        </w:r>
        <w:r>
          <w:rPr>
            <w:noProof/>
          </w:rPr>
          <w:fldChar w:fldCharType="end"/>
        </w:r>
      </w:p>
    </w:sdtContent>
  </w:sdt>
  <w:p w:rsidR="00662A4B" w:rsidRDefault="0066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8C" w:rsidRDefault="00703A8C" w:rsidP="00662A4B">
      <w:r>
        <w:separator/>
      </w:r>
    </w:p>
  </w:footnote>
  <w:footnote w:type="continuationSeparator" w:id="0">
    <w:p w:rsidR="00703A8C" w:rsidRDefault="00703A8C" w:rsidP="0066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4B" w:rsidRDefault="00662A4B">
    <w:pPr>
      <w:pStyle w:val="Header"/>
    </w:pPr>
    <w:r>
      <w:t>Love, Listen and Learn</w:t>
    </w:r>
  </w:p>
  <w:p w:rsidR="00662A4B" w:rsidRDefault="00662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A84"/>
    <w:multiLevelType w:val="hybridMultilevel"/>
    <w:tmpl w:val="D38658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A794FBD"/>
    <w:multiLevelType w:val="hybridMultilevel"/>
    <w:tmpl w:val="99968878"/>
    <w:lvl w:ilvl="0" w:tplc="FBCAFB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0FD0CA2"/>
    <w:multiLevelType w:val="hybridMultilevel"/>
    <w:tmpl w:val="C0C24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7DF67ED"/>
    <w:multiLevelType w:val="hybridMultilevel"/>
    <w:tmpl w:val="6686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D4EBA"/>
    <w:multiLevelType w:val="hybridMultilevel"/>
    <w:tmpl w:val="039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A534F7"/>
    <w:multiLevelType w:val="hybridMultilevel"/>
    <w:tmpl w:val="2168EF02"/>
    <w:lvl w:ilvl="0" w:tplc="E228C8C8">
      <w:start w:val="1"/>
      <w:numFmt w:val="decimal"/>
      <w:lvlText w:val="%1."/>
      <w:lvlJc w:val="left"/>
      <w:pPr>
        <w:ind w:left="720" w:hanging="360"/>
      </w:pPr>
      <w:rPr>
        <w:rFonts w:ascii="Arial" w:eastAsia="Calibri"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26"/>
    <w:rsid w:val="000A283A"/>
    <w:rsid w:val="000F77FD"/>
    <w:rsid w:val="002A3B8D"/>
    <w:rsid w:val="00373992"/>
    <w:rsid w:val="00415BB4"/>
    <w:rsid w:val="004F52E9"/>
    <w:rsid w:val="0051143E"/>
    <w:rsid w:val="005B572B"/>
    <w:rsid w:val="00662A4B"/>
    <w:rsid w:val="006721E3"/>
    <w:rsid w:val="006C5026"/>
    <w:rsid w:val="00703A8C"/>
    <w:rsid w:val="00B018B7"/>
    <w:rsid w:val="00BC49C8"/>
    <w:rsid w:val="00BE493A"/>
    <w:rsid w:val="00C210EE"/>
    <w:rsid w:val="00CA02C2"/>
    <w:rsid w:val="00D5522B"/>
    <w:rsid w:val="00D80F0E"/>
    <w:rsid w:val="00F2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2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26"/>
    <w:pPr>
      <w:ind w:left="720"/>
    </w:pPr>
  </w:style>
  <w:style w:type="paragraph" w:styleId="Title">
    <w:name w:val="Title"/>
    <w:basedOn w:val="Normal"/>
    <w:link w:val="TitleChar"/>
    <w:qFormat/>
    <w:rsid w:val="006C5026"/>
    <w:pPr>
      <w:jc w:val="center"/>
    </w:pPr>
    <w:rPr>
      <w:rFonts w:cs="Times New Roman"/>
      <w:sz w:val="56"/>
      <w:szCs w:val="20"/>
      <w:lang w:eastAsia="en-GB"/>
    </w:rPr>
  </w:style>
  <w:style w:type="character" w:customStyle="1" w:styleId="TitleChar">
    <w:name w:val="Title Char"/>
    <w:basedOn w:val="DefaultParagraphFont"/>
    <w:link w:val="Title"/>
    <w:rsid w:val="006C5026"/>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6C5026"/>
    <w:pPr>
      <w:jc w:val="both"/>
    </w:pPr>
    <w:rPr>
      <w:rFonts w:ascii="Comic Sans MS" w:hAnsi="Comic Sans MS" w:cs="Times New Roman"/>
      <w:sz w:val="20"/>
      <w:szCs w:val="20"/>
      <w:lang w:eastAsia="en-GB"/>
    </w:rPr>
  </w:style>
  <w:style w:type="character" w:customStyle="1" w:styleId="BodyTextChar">
    <w:name w:val="Body Text Char"/>
    <w:basedOn w:val="DefaultParagraphFont"/>
    <w:link w:val="BodyText"/>
    <w:semiHidden/>
    <w:rsid w:val="006C5026"/>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6C5026"/>
    <w:rPr>
      <w:rFonts w:ascii="Tahoma" w:hAnsi="Tahoma" w:cs="Tahoma"/>
      <w:sz w:val="16"/>
      <w:szCs w:val="16"/>
    </w:rPr>
  </w:style>
  <w:style w:type="character" w:customStyle="1" w:styleId="BalloonTextChar">
    <w:name w:val="Balloon Text Char"/>
    <w:basedOn w:val="DefaultParagraphFont"/>
    <w:link w:val="BalloonText"/>
    <w:uiPriority w:val="99"/>
    <w:semiHidden/>
    <w:rsid w:val="006C5026"/>
    <w:rPr>
      <w:rFonts w:ascii="Tahoma" w:eastAsia="Times New Roman" w:hAnsi="Tahoma" w:cs="Tahoma"/>
      <w:sz w:val="16"/>
      <w:szCs w:val="16"/>
    </w:rPr>
  </w:style>
  <w:style w:type="table" w:styleId="TableGrid">
    <w:name w:val="Table Grid"/>
    <w:basedOn w:val="TableNormal"/>
    <w:uiPriority w:val="59"/>
    <w:rsid w:val="0066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A4B"/>
    <w:pPr>
      <w:tabs>
        <w:tab w:val="center" w:pos="4513"/>
        <w:tab w:val="right" w:pos="9026"/>
      </w:tabs>
    </w:pPr>
  </w:style>
  <w:style w:type="character" w:customStyle="1" w:styleId="HeaderChar">
    <w:name w:val="Header Char"/>
    <w:basedOn w:val="DefaultParagraphFont"/>
    <w:link w:val="Header"/>
    <w:uiPriority w:val="99"/>
    <w:rsid w:val="00662A4B"/>
    <w:rPr>
      <w:rFonts w:ascii="Arial" w:eastAsia="Times New Roman" w:hAnsi="Arial" w:cs="Arial"/>
    </w:rPr>
  </w:style>
  <w:style w:type="paragraph" w:styleId="Footer">
    <w:name w:val="footer"/>
    <w:basedOn w:val="Normal"/>
    <w:link w:val="FooterChar"/>
    <w:uiPriority w:val="99"/>
    <w:unhideWhenUsed/>
    <w:rsid w:val="00662A4B"/>
    <w:pPr>
      <w:tabs>
        <w:tab w:val="center" w:pos="4513"/>
        <w:tab w:val="right" w:pos="9026"/>
      </w:tabs>
    </w:pPr>
  </w:style>
  <w:style w:type="character" w:customStyle="1" w:styleId="FooterChar">
    <w:name w:val="Footer Char"/>
    <w:basedOn w:val="DefaultParagraphFont"/>
    <w:link w:val="Footer"/>
    <w:uiPriority w:val="99"/>
    <w:rsid w:val="00662A4B"/>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2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26"/>
    <w:pPr>
      <w:ind w:left="720"/>
    </w:pPr>
  </w:style>
  <w:style w:type="paragraph" w:styleId="Title">
    <w:name w:val="Title"/>
    <w:basedOn w:val="Normal"/>
    <w:link w:val="TitleChar"/>
    <w:qFormat/>
    <w:rsid w:val="006C5026"/>
    <w:pPr>
      <w:jc w:val="center"/>
    </w:pPr>
    <w:rPr>
      <w:rFonts w:cs="Times New Roman"/>
      <w:sz w:val="56"/>
      <w:szCs w:val="20"/>
      <w:lang w:eastAsia="en-GB"/>
    </w:rPr>
  </w:style>
  <w:style w:type="character" w:customStyle="1" w:styleId="TitleChar">
    <w:name w:val="Title Char"/>
    <w:basedOn w:val="DefaultParagraphFont"/>
    <w:link w:val="Title"/>
    <w:rsid w:val="006C5026"/>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6C5026"/>
    <w:pPr>
      <w:jc w:val="both"/>
    </w:pPr>
    <w:rPr>
      <w:rFonts w:ascii="Comic Sans MS" w:hAnsi="Comic Sans MS" w:cs="Times New Roman"/>
      <w:sz w:val="20"/>
      <w:szCs w:val="20"/>
      <w:lang w:eastAsia="en-GB"/>
    </w:rPr>
  </w:style>
  <w:style w:type="character" w:customStyle="1" w:styleId="BodyTextChar">
    <w:name w:val="Body Text Char"/>
    <w:basedOn w:val="DefaultParagraphFont"/>
    <w:link w:val="BodyText"/>
    <w:semiHidden/>
    <w:rsid w:val="006C5026"/>
    <w:rPr>
      <w:rFonts w:ascii="Comic Sans MS" w:eastAsia="Times New Roman" w:hAnsi="Comic Sans MS" w:cs="Times New Roman"/>
      <w:sz w:val="20"/>
      <w:szCs w:val="20"/>
      <w:lang w:eastAsia="en-GB"/>
    </w:rPr>
  </w:style>
  <w:style w:type="paragraph" w:styleId="BalloonText">
    <w:name w:val="Balloon Text"/>
    <w:basedOn w:val="Normal"/>
    <w:link w:val="BalloonTextChar"/>
    <w:uiPriority w:val="99"/>
    <w:semiHidden/>
    <w:unhideWhenUsed/>
    <w:rsid w:val="006C5026"/>
    <w:rPr>
      <w:rFonts w:ascii="Tahoma" w:hAnsi="Tahoma" w:cs="Tahoma"/>
      <w:sz w:val="16"/>
      <w:szCs w:val="16"/>
    </w:rPr>
  </w:style>
  <w:style w:type="character" w:customStyle="1" w:styleId="BalloonTextChar">
    <w:name w:val="Balloon Text Char"/>
    <w:basedOn w:val="DefaultParagraphFont"/>
    <w:link w:val="BalloonText"/>
    <w:uiPriority w:val="99"/>
    <w:semiHidden/>
    <w:rsid w:val="006C5026"/>
    <w:rPr>
      <w:rFonts w:ascii="Tahoma" w:eastAsia="Times New Roman" w:hAnsi="Tahoma" w:cs="Tahoma"/>
      <w:sz w:val="16"/>
      <w:szCs w:val="16"/>
    </w:rPr>
  </w:style>
  <w:style w:type="table" w:styleId="TableGrid">
    <w:name w:val="Table Grid"/>
    <w:basedOn w:val="TableNormal"/>
    <w:uiPriority w:val="59"/>
    <w:rsid w:val="0066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A4B"/>
    <w:pPr>
      <w:tabs>
        <w:tab w:val="center" w:pos="4513"/>
        <w:tab w:val="right" w:pos="9026"/>
      </w:tabs>
    </w:pPr>
  </w:style>
  <w:style w:type="character" w:customStyle="1" w:styleId="HeaderChar">
    <w:name w:val="Header Char"/>
    <w:basedOn w:val="DefaultParagraphFont"/>
    <w:link w:val="Header"/>
    <w:uiPriority w:val="99"/>
    <w:rsid w:val="00662A4B"/>
    <w:rPr>
      <w:rFonts w:ascii="Arial" w:eastAsia="Times New Roman" w:hAnsi="Arial" w:cs="Arial"/>
    </w:rPr>
  </w:style>
  <w:style w:type="paragraph" w:styleId="Footer">
    <w:name w:val="footer"/>
    <w:basedOn w:val="Normal"/>
    <w:link w:val="FooterChar"/>
    <w:uiPriority w:val="99"/>
    <w:unhideWhenUsed/>
    <w:rsid w:val="00662A4B"/>
    <w:pPr>
      <w:tabs>
        <w:tab w:val="center" w:pos="4513"/>
        <w:tab w:val="right" w:pos="9026"/>
      </w:tabs>
    </w:pPr>
  </w:style>
  <w:style w:type="character" w:customStyle="1" w:styleId="FooterChar">
    <w:name w:val="Footer Char"/>
    <w:basedOn w:val="DefaultParagraphFont"/>
    <w:link w:val="Footer"/>
    <w:uiPriority w:val="99"/>
    <w:rsid w:val="00662A4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827">
      <w:bodyDiv w:val="1"/>
      <w:marLeft w:val="0"/>
      <w:marRight w:val="0"/>
      <w:marTop w:val="0"/>
      <w:marBottom w:val="0"/>
      <w:divBdr>
        <w:top w:val="none" w:sz="0" w:space="0" w:color="auto"/>
        <w:left w:val="none" w:sz="0" w:space="0" w:color="auto"/>
        <w:bottom w:val="none" w:sz="0" w:space="0" w:color="auto"/>
        <w:right w:val="none" w:sz="0" w:space="0" w:color="auto"/>
      </w:divBdr>
    </w:div>
    <w:div w:id="6778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 Creed</cp:lastModifiedBy>
  <cp:revision>14</cp:revision>
  <dcterms:created xsi:type="dcterms:W3CDTF">2017-01-09T17:02:00Z</dcterms:created>
  <dcterms:modified xsi:type="dcterms:W3CDTF">2018-06-18T21:29:00Z</dcterms:modified>
</cp:coreProperties>
</file>